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F7F3" w14:textId="77777777" w:rsidR="00615010" w:rsidRDefault="00615010" w:rsidP="00615010">
      <w:pPr>
        <w:jc w:val="center"/>
        <w:rPr>
          <w:bCs/>
        </w:rPr>
      </w:pPr>
    </w:p>
    <w:p w14:paraId="18172C88" w14:textId="77777777" w:rsidR="00615010" w:rsidRDefault="00615010" w:rsidP="00615010">
      <w:pPr>
        <w:jc w:val="center"/>
        <w:rPr>
          <w:bCs/>
        </w:rPr>
      </w:pPr>
    </w:p>
    <w:p w14:paraId="3D000FEC" w14:textId="27BE33C1" w:rsidR="00615010" w:rsidRDefault="00615010" w:rsidP="00615010">
      <w:pPr>
        <w:jc w:val="center"/>
        <w:rPr>
          <w:bCs/>
        </w:rPr>
      </w:pPr>
    </w:p>
    <w:p w14:paraId="46D44AEE" w14:textId="77777777" w:rsidR="00615010" w:rsidRDefault="00615010" w:rsidP="00615010">
      <w:pPr>
        <w:jc w:val="center"/>
        <w:rPr>
          <w:bCs/>
        </w:rPr>
      </w:pPr>
    </w:p>
    <w:p w14:paraId="46540B0A" w14:textId="77777777" w:rsidR="00615010" w:rsidRDefault="00615010" w:rsidP="00615010">
      <w:pPr>
        <w:jc w:val="center"/>
        <w:rPr>
          <w:bCs/>
        </w:rPr>
      </w:pPr>
    </w:p>
    <w:p w14:paraId="31DDF34A" w14:textId="466FB3DD" w:rsidR="00C7316A" w:rsidRDefault="00623B25" w:rsidP="00615010">
      <w:pPr>
        <w:jc w:val="center"/>
        <w:rPr>
          <w:bCs/>
        </w:rPr>
      </w:pPr>
      <w:r w:rsidRPr="00495AB6">
        <w:rPr>
          <w:bCs/>
        </w:rPr>
        <w:t xml:space="preserve">Online Vs. Classroom Teaching and </w:t>
      </w:r>
      <w:r w:rsidR="00495AB6" w:rsidRPr="00495AB6">
        <w:rPr>
          <w:bCs/>
        </w:rPr>
        <w:t>R</w:t>
      </w:r>
      <w:r w:rsidR="00495AB6" w:rsidRPr="00495AB6">
        <w:rPr>
          <w:bCs/>
        </w:rPr>
        <w:t xml:space="preserve">elationship </w:t>
      </w:r>
      <w:r w:rsidR="00495AB6" w:rsidRPr="00495AB6">
        <w:rPr>
          <w:bCs/>
        </w:rPr>
        <w:t>B</w:t>
      </w:r>
      <w:r w:rsidR="00495AB6" w:rsidRPr="00495AB6">
        <w:rPr>
          <w:bCs/>
        </w:rPr>
        <w:t xml:space="preserve">etween PPP and </w:t>
      </w:r>
      <w:r w:rsidR="00495AB6" w:rsidRPr="00495AB6">
        <w:rPr>
          <w:bCs/>
        </w:rPr>
        <w:t>C</w:t>
      </w:r>
      <w:r w:rsidR="00495AB6" w:rsidRPr="00495AB6">
        <w:rPr>
          <w:bCs/>
        </w:rPr>
        <w:t xml:space="preserve">itric </w:t>
      </w:r>
      <w:r w:rsidR="00495AB6" w:rsidRPr="00495AB6">
        <w:rPr>
          <w:bCs/>
        </w:rPr>
        <w:t>A</w:t>
      </w:r>
      <w:r w:rsidR="00495AB6" w:rsidRPr="00495AB6">
        <w:rPr>
          <w:bCs/>
        </w:rPr>
        <w:t xml:space="preserve">cid </w:t>
      </w:r>
      <w:r w:rsidR="00495AB6" w:rsidRPr="00495AB6">
        <w:rPr>
          <w:bCs/>
        </w:rPr>
        <w:t>C</w:t>
      </w:r>
      <w:r w:rsidR="00495AB6" w:rsidRPr="00495AB6">
        <w:rPr>
          <w:bCs/>
        </w:rPr>
        <w:t>ycle</w:t>
      </w:r>
    </w:p>
    <w:p w14:paraId="35423E5D" w14:textId="289A3A7B" w:rsidR="00912199" w:rsidRDefault="00912199" w:rsidP="00615010">
      <w:pPr>
        <w:jc w:val="center"/>
        <w:rPr>
          <w:bCs/>
        </w:rPr>
      </w:pPr>
      <w:r>
        <w:rPr>
          <w:bCs/>
        </w:rPr>
        <w:t>Student’s Name</w:t>
      </w:r>
    </w:p>
    <w:p w14:paraId="3FC23A9A" w14:textId="22E78673" w:rsidR="00912199" w:rsidRDefault="00912199" w:rsidP="00615010">
      <w:pPr>
        <w:jc w:val="center"/>
        <w:rPr>
          <w:bCs/>
        </w:rPr>
      </w:pPr>
      <w:r>
        <w:rPr>
          <w:bCs/>
        </w:rPr>
        <w:t>Institutional Affiliations</w:t>
      </w:r>
    </w:p>
    <w:p w14:paraId="1880E6E5" w14:textId="77777777" w:rsidR="00615010" w:rsidRDefault="00615010" w:rsidP="00615010">
      <w:pPr>
        <w:jc w:val="center"/>
        <w:rPr>
          <w:bCs/>
        </w:rPr>
      </w:pPr>
      <w:r>
        <w:rPr>
          <w:bCs/>
        </w:rPr>
        <w:br w:type="page"/>
      </w:r>
    </w:p>
    <w:p w14:paraId="271DA38D" w14:textId="3BF3F168" w:rsidR="00912199" w:rsidRPr="00495AB6" w:rsidRDefault="00912199" w:rsidP="00615010">
      <w:pPr>
        <w:jc w:val="center"/>
        <w:rPr>
          <w:bCs/>
        </w:rPr>
      </w:pPr>
      <w:r w:rsidRPr="00912199">
        <w:rPr>
          <w:bCs/>
        </w:rPr>
        <w:lastRenderedPageBreak/>
        <w:t>Online Vs. Classroom Teaching and Relationship Between PPP and Citric Acid Cycle</w:t>
      </w:r>
    </w:p>
    <w:p w14:paraId="2ACB2F08" w14:textId="5811BF08" w:rsidR="009919B1" w:rsidRPr="00C40368" w:rsidRDefault="00FA3ACC" w:rsidP="00615010">
      <w:pPr>
        <w:rPr>
          <w:b/>
        </w:rPr>
      </w:pPr>
      <w:r>
        <w:rPr>
          <w:b/>
        </w:rPr>
        <w:t>Question 1</w:t>
      </w:r>
      <w:r w:rsidR="00675C2B">
        <w:rPr>
          <w:b/>
        </w:rPr>
        <w:t xml:space="preserve">: </w:t>
      </w:r>
      <w:r w:rsidR="00675C2B" w:rsidRPr="00675C2B">
        <w:rPr>
          <w:b/>
        </w:rPr>
        <w:t>Compare and contrast classroom teaching to online teaching</w:t>
      </w:r>
    </w:p>
    <w:p w14:paraId="4FD814E1" w14:textId="77777777" w:rsidR="009919B1" w:rsidRDefault="00FA3ACC" w:rsidP="00615010">
      <w:r>
        <w:t>Some of the differences between online</w:t>
      </w:r>
      <w:r w:rsidR="00154527">
        <w:t xml:space="preserve"> teaching</w:t>
      </w:r>
      <w:r>
        <w:t xml:space="preserve"> and classroom teaching include:</w:t>
      </w:r>
    </w:p>
    <w:p w14:paraId="2FA5E6D0" w14:textId="3334572F" w:rsidR="009919B1" w:rsidRDefault="00FA3ACC" w:rsidP="00615010">
      <w:pPr>
        <w:pStyle w:val="ListParagraph"/>
        <w:numPr>
          <w:ilvl w:val="0"/>
          <w:numId w:val="2"/>
        </w:numPr>
      </w:pPr>
      <w:r>
        <w:t>C</w:t>
      </w:r>
      <w:r>
        <w:t>lassroom teaching allows for physical interactions between the teacher and the learn</w:t>
      </w:r>
      <w:r w:rsidR="00116E45">
        <w:t>er</w:t>
      </w:r>
      <w:r w:rsidR="00FA710C">
        <w:t>,</w:t>
      </w:r>
      <w:r w:rsidR="00116E45">
        <w:t xml:space="preserve"> while online teaching does not</w:t>
      </w:r>
      <w:r w:rsidR="00C40368">
        <w:t xml:space="preserve"> (Stafford Global, 2020)</w:t>
      </w:r>
      <w:r w:rsidR="00116E45">
        <w:t xml:space="preserve">. Online classes are virtual, </w:t>
      </w:r>
      <w:r w:rsidR="00980A65">
        <w:t>which implies</w:t>
      </w:r>
      <w:r w:rsidR="00116E45">
        <w:t xml:space="preserve"> that the interactions are</w:t>
      </w:r>
      <w:r w:rsidR="00980A65">
        <w:t xml:space="preserve"> limited to exchanging messages through messaging or video applications</w:t>
      </w:r>
      <w:r w:rsidR="00FA710C">
        <w:t>,</w:t>
      </w:r>
      <w:r w:rsidR="00980A65">
        <w:t xml:space="preserve"> among others. Information is exchanged face-to-face in classroom teaching.</w:t>
      </w:r>
    </w:p>
    <w:p w14:paraId="0A9482B2" w14:textId="228FF3FB" w:rsidR="009919B1" w:rsidRDefault="00FA3ACC" w:rsidP="00615010">
      <w:pPr>
        <w:pStyle w:val="ListParagraph"/>
        <w:numPr>
          <w:ilvl w:val="0"/>
          <w:numId w:val="2"/>
        </w:numPr>
      </w:pPr>
      <w:r>
        <w:t>In online teachi</w:t>
      </w:r>
      <w:r>
        <w:t>ng, one can teach students from different locations</w:t>
      </w:r>
      <w:r w:rsidR="00154527">
        <w:t xml:space="preserve"> worldwide</w:t>
      </w:r>
      <w:r>
        <w:t xml:space="preserve"> simultaneously</w:t>
      </w:r>
      <w:r w:rsidR="00C40368">
        <w:t xml:space="preserve"> (Stafford Global, 2020)</w:t>
      </w:r>
      <w:r>
        <w:t xml:space="preserve">. </w:t>
      </w:r>
      <w:r w:rsidR="00FA710C">
        <w:t>On the other hand, classroom teaching</w:t>
      </w:r>
      <w:r>
        <w:t xml:space="preserve"> requires all the students to be at the same location in the classroom.</w:t>
      </w:r>
      <w:r w:rsidR="00116E45">
        <w:t xml:space="preserve"> In online teaching, the instructor can avail the learning material to students from all over the world through various online resources, while the material in classroom teaching can be accessed by the students in the classroom.</w:t>
      </w:r>
    </w:p>
    <w:p w14:paraId="7E66A4ED" w14:textId="77777777" w:rsidR="009919B1" w:rsidRDefault="00FA3ACC" w:rsidP="00615010">
      <w:pPr>
        <w:pStyle w:val="ListParagraph"/>
        <w:numPr>
          <w:ilvl w:val="0"/>
          <w:numId w:val="2"/>
        </w:numPr>
      </w:pPr>
      <w:r>
        <w:t xml:space="preserve">Online teaching </w:t>
      </w:r>
      <w:r w:rsidR="00116E45">
        <w:t xml:space="preserve">allows the instructor </w:t>
      </w:r>
      <w:r w:rsidR="00154527">
        <w:t>to teach individuals across different time zones all over the world</w:t>
      </w:r>
      <w:r w:rsidR="00980A65">
        <w:t xml:space="preserve"> simultaneously since interaction occurs between individuals in different locations worldwide</w:t>
      </w:r>
      <w:r w:rsidR="00C40368">
        <w:t xml:space="preserve"> (Stafford Global, 2020)</w:t>
      </w:r>
      <w:r w:rsidR="00980A65">
        <w:t>. Conversely, classroom teaching occurs in one location and is therefore limited to the same time zone.</w:t>
      </w:r>
    </w:p>
    <w:p w14:paraId="42D21621" w14:textId="77777777" w:rsidR="00154527" w:rsidRDefault="00FA3ACC" w:rsidP="00615010">
      <w:r>
        <w:t>Th</w:t>
      </w:r>
      <w:r>
        <w:t>e similarities between online teaching and classroom teaching include:</w:t>
      </w:r>
    </w:p>
    <w:p w14:paraId="10A7B78C" w14:textId="77777777" w:rsidR="00154527" w:rsidRDefault="00FA3ACC" w:rsidP="00615010">
      <w:pPr>
        <w:pStyle w:val="ListParagraph"/>
        <w:numPr>
          <w:ilvl w:val="0"/>
          <w:numId w:val="3"/>
        </w:numPr>
      </w:pPr>
      <w:r>
        <w:t>In both classroom and online teaching, the instructor has to prepare the learning material.</w:t>
      </w:r>
      <w:r w:rsidR="00980A65">
        <w:t xml:space="preserve"> In both instances, the instructor has to determine the appropriate material and method of delivery to the students</w:t>
      </w:r>
      <w:r w:rsidR="00C40368">
        <w:t xml:space="preserve"> (Morgan, 2016)</w:t>
      </w:r>
      <w:r w:rsidR="00980A65">
        <w:t>.</w:t>
      </w:r>
    </w:p>
    <w:p w14:paraId="0D393B3F" w14:textId="422D3CCD" w:rsidR="00154527" w:rsidRDefault="00FA3ACC" w:rsidP="00615010">
      <w:pPr>
        <w:pStyle w:val="ListParagraph"/>
        <w:numPr>
          <w:ilvl w:val="0"/>
          <w:numId w:val="3"/>
        </w:numPr>
      </w:pPr>
      <w:r>
        <w:lastRenderedPageBreak/>
        <w:t>In both</w:t>
      </w:r>
      <w:r w:rsidR="008825AE">
        <w:t xml:space="preserve"> online and classroom </w:t>
      </w:r>
      <w:r w:rsidR="00FA710C">
        <w:t>teaching</w:t>
      </w:r>
      <w:r>
        <w:t>, the teacher evaluates the students to assess their under</w:t>
      </w:r>
      <w:r w:rsidR="00C40368">
        <w:t>standing of the course material (Morgan, 2016).</w:t>
      </w:r>
      <w:r w:rsidR="00980A65">
        <w:t xml:space="preserve"> As such, both online and classroom teaching employ assessments and tests at v</w:t>
      </w:r>
      <w:r w:rsidR="00C40368">
        <w:t>arious points during the course (Morgan, 2016).</w:t>
      </w:r>
    </w:p>
    <w:p w14:paraId="67A29B01" w14:textId="2D496295" w:rsidR="00C40368" w:rsidRPr="00C40368" w:rsidRDefault="00FA3ACC" w:rsidP="00615010">
      <w:pPr>
        <w:rPr>
          <w:b/>
        </w:rPr>
      </w:pPr>
      <w:r>
        <w:rPr>
          <w:b/>
        </w:rPr>
        <w:t>Question 2</w:t>
      </w:r>
      <w:r w:rsidR="00675C2B">
        <w:rPr>
          <w:b/>
        </w:rPr>
        <w:t>:</w:t>
      </w:r>
      <w:r w:rsidR="00675C2B" w:rsidRPr="00675C2B">
        <w:rPr>
          <w:rFonts w:ascii="Helvetica" w:hAnsi="Helvetica" w:cs="Helvetica"/>
          <w:color w:val="1B1B1B"/>
          <w:sz w:val="27"/>
          <w:szCs w:val="27"/>
          <w:shd w:val="clear" w:color="auto" w:fill="FFFFFF"/>
        </w:rPr>
        <w:t xml:space="preserve"> </w:t>
      </w:r>
      <w:r w:rsidR="00675C2B" w:rsidRPr="00675C2B">
        <w:rPr>
          <w:b/>
        </w:rPr>
        <w:t xml:space="preserve">What is the relationship between pentose phosphate pathway and </w:t>
      </w:r>
      <w:r w:rsidR="00FA710C">
        <w:rPr>
          <w:b/>
        </w:rPr>
        <w:t>c</w:t>
      </w:r>
      <w:r w:rsidR="00675C2B" w:rsidRPr="00675C2B">
        <w:rPr>
          <w:b/>
        </w:rPr>
        <w:t>itric acid cycle?</w:t>
      </w:r>
    </w:p>
    <w:p w14:paraId="64215B44" w14:textId="7357B4A2" w:rsidR="00C40368" w:rsidRDefault="00FA3ACC" w:rsidP="00615010">
      <w:pPr>
        <w:pStyle w:val="ListParagraph"/>
        <w:numPr>
          <w:ilvl w:val="0"/>
          <w:numId w:val="4"/>
        </w:numPr>
      </w:pPr>
      <w:r w:rsidRPr="00C7316A">
        <w:t>The pentose phos</w:t>
      </w:r>
      <w:r>
        <w:t>phate pathway (PPP) is connected to the Citric Acid Cycle through glycolysis. In PPP, the oxidative phase results in the formation of ribulose-5-phosphate and NADPH from glucose-6-phosphate (Lumen, n.d.). In t</w:t>
      </w:r>
      <w:r>
        <w:t>he non-oxidative phase, ribulose-5-phosphate can be converted into pentoses for nucleic acid synthesis</w:t>
      </w:r>
      <w:r>
        <w:t xml:space="preserve"> or intermediates of glycolysis such as glyceraldehyde-3-phosphate and fructose-6-phosphate (Lumen, n.d.). If the cell</w:t>
      </w:r>
      <w:r w:rsidR="00FA710C">
        <w:t>’</w:t>
      </w:r>
      <w:r>
        <w:t>s ribose-5-phosphate demand increa</w:t>
      </w:r>
      <w:r>
        <w:t xml:space="preserve">ses, some of the fructose-6-phosphate and glyceraldehyde-3-phosphate from glycolysis are used in the reverse steps of the non-oxidative phase to form ribulose-5-phosphate and ribose-5-phosphate eventually (AK Lectures, 2021). This means that less pyruvate </w:t>
      </w:r>
      <w:r>
        <w:t>will be formed from glycolysis; hence less pyruvate from glycolysis enters the Citric Acid Cycle.</w:t>
      </w:r>
    </w:p>
    <w:p w14:paraId="5211164D" w14:textId="22803BCF" w:rsidR="00C40368" w:rsidRDefault="00FA3ACC" w:rsidP="00615010">
      <w:pPr>
        <w:pStyle w:val="ListParagraph"/>
        <w:numPr>
          <w:ilvl w:val="0"/>
          <w:numId w:val="4"/>
        </w:numPr>
      </w:pPr>
      <w:r>
        <w:t>However, if the cell’s ATP requirements are more than the ribose-5-phosphate requirements, the cell will carry out both the oxidative and non-oxidative phases</w:t>
      </w:r>
      <w:r>
        <w:t xml:space="preserve"> of PPP to form glycolytic intermediates such as glyceraldehyde-3-phosphate and fructose-6-phosphate which are then shunted into the glycolytic pathway (AK Lectures, 2021). If this occurs, more pyruvate is formed at the end of glycolysis, which means more </w:t>
      </w:r>
      <w:r>
        <w:t>pyruvate enters the Citric Acid cycle.</w:t>
      </w:r>
    </w:p>
    <w:p w14:paraId="74916B5D" w14:textId="3DD03A53" w:rsidR="00C40368" w:rsidRPr="00B53B5E" w:rsidRDefault="00FA3ACC" w:rsidP="00615010">
      <w:pPr>
        <w:jc w:val="center"/>
        <w:rPr>
          <w:bCs/>
        </w:rPr>
      </w:pPr>
      <w:r w:rsidRPr="00B53B5E">
        <w:rPr>
          <w:bCs/>
        </w:rPr>
        <w:lastRenderedPageBreak/>
        <w:t>R</w:t>
      </w:r>
      <w:r w:rsidRPr="00B53B5E">
        <w:rPr>
          <w:bCs/>
        </w:rPr>
        <w:t>eferences</w:t>
      </w:r>
    </w:p>
    <w:p w14:paraId="6D187899" w14:textId="77777777" w:rsidR="00483BFE" w:rsidRDefault="00483BFE" w:rsidP="00615010">
      <w:pPr>
        <w:ind w:left="720" w:hanging="720"/>
        <w:rPr>
          <w:rFonts w:cs="Times New Roman"/>
          <w:szCs w:val="24"/>
          <w:shd w:val="clear" w:color="auto" w:fill="FFFFFF"/>
        </w:rPr>
      </w:pPr>
      <w:r w:rsidRPr="00CE2354">
        <w:rPr>
          <w:rFonts w:cs="Times New Roman"/>
          <w:color w:val="000000"/>
          <w:szCs w:val="24"/>
          <w:shd w:val="clear" w:color="auto" w:fill="FFFFFF"/>
        </w:rPr>
        <w:t xml:space="preserve">AK Lectures. (2021). </w:t>
      </w:r>
      <w:r w:rsidRPr="00B53B5E">
        <w:rPr>
          <w:rFonts w:cs="Times New Roman"/>
          <w:iCs/>
          <w:color w:val="000000"/>
          <w:szCs w:val="24"/>
          <w:shd w:val="clear" w:color="auto" w:fill="FFFFFF"/>
        </w:rPr>
        <w:t xml:space="preserve">Interplay of </w:t>
      </w:r>
      <w:r>
        <w:rPr>
          <w:rFonts w:cs="Times New Roman"/>
          <w:iCs/>
          <w:color w:val="000000"/>
          <w:szCs w:val="24"/>
          <w:shd w:val="clear" w:color="auto" w:fill="FFFFFF"/>
        </w:rPr>
        <w:t>g</w:t>
      </w:r>
      <w:r w:rsidRPr="00B53B5E">
        <w:rPr>
          <w:rFonts w:cs="Times New Roman"/>
          <w:iCs/>
          <w:color w:val="000000"/>
          <w:szCs w:val="24"/>
          <w:shd w:val="clear" w:color="auto" w:fill="FFFFFF"/>
        </w:rPr>
        <w:t xml:space="preserve">lycolysis and </w:t>
      </w:r>
      <w:r>
        <w:rPr>
          <w:rFonts w:cs="Times New Roman"/>
          <w:iCs/>
          <w:color w:val="000000"/>
          <w:szCs w:val="24"/>
          <w:shd w:val="clear" w:color="auto" w:fill="FFFFFF"/>
        </w:rPr>
        <w:t>p</w:t>
      </w:r>
      <w:r w:rsidRPr="00B53B5E">
        <w:rPr>
          <w:rFonts w:cs="Times New Roman"/>
          <w:iCs/>
          <w:color w:val="000000"/>
          <w:szCs w:val="24"/>
          <w:shd w:val="clear" w:color="auto" w:fill="FFFFFF"/>
        </w:rPr>
        <w:t xml:space="preserve">entose </w:t>
      </w:r>
      <w:r>
        <w:rPr>
          <w:rFonts w:cs="Times New Roman"/>
          <w:iCs/>
          <w:color w:val="000000"/>
          <w:szCs w:val="24"/>
          <w:shd w:val="clear" w:color="auto" w:fill="FFFFFF"/>
        </w:rPr>
        <w:t>p</w:t>
      </w:r>
      <w:r w:rsidRPr="00B53B5E">
        <w:rPr>
          <w:rFonts w:cs="Times New Roman"/>
          <w:iCs/>
          <w:color w:val="000000"/>
          <w:szCs w:val="24"/>
          <w:shd w:val="clear" w:color="auto" w:fill="FFFFFF"/>
        </w:rPr>
        <w:t xml:space="preserve">hosphate </w:t>
      </w:r>
      <w:r>
        <w:rPr>
          <w:rFonts w:cs="Times New Roman"/>
          <w:iCs/>
          <w:color w:val="000000"/>
          <w:szCs w:val="24"/>
          <w:shd w:val="clear" w:color="auto" w:fill="FFFFFF"/>
        </w:rPr>
        <w:t>p</w:t>
      </w:r>
      <w:r w:rsidRPr="00B53B5E">
        <w:rPr>
          <w:rFonts w:cs="Times New Roman"/>
          <w:iCs/>
          <w:color w:val="000000"/>
          <w:szCs w:val="24"/>
          <w:shd w:val="clear" w:color="auto" w:fill="FFFFFF"/>
        </w:rPr>
        <w:t xml:space="preserve">athway. </w:t>
      </w:r>
      <w:r>
        <w:rPr>
          <w:rFonts w:cs="Times New Roman"/>
          <w:color w:val="000000"/>
          <w:szCs w:val="24"/>
          <w:shd w:val="clear" w:color="auto" w:fill="FFFFFF"/>
        </w:rPr>
        <w:t xml:space="preserve">Retrieved from </w:t>
      </w:r>
      <w:hyperlink r:id="rId7" w:history="1">
        <w:r w:rsidRPr="00B0274D">
          <w:rPr>
            <w:rStyle w:val="Hyperlink"/>
            <w:rFonts w:cs="Times New Roman"/>
            <w:szCs w:val="24"/>
            <w:shd w:val="clear" w:color="auto" w:fill="FFFFFF"/>
          </w:rPr>
          <w:t>https://aklectures.com/lecture/pentose-phosphate-pathway/interplay-of-glycolysis-and-pentose-phosphate-pathway</w:t>
        </w:r>
      </w:hyperlink>
    </w:p>
    <w:p w14:paraId="5ED77CF1" w14:textId="77777777" w:rsidR="00483BFE" w:rsidRDefault="00483BFE" w:rsidP="00615010">
      <w:pPr>
        <w:ind w:left="720" w:hanging="720"/>
        <w:rPr>
          <w:rStyle w:val="Hyperlink"/>
          <w:rFonts w:cs="Times New Roman"/>
          <w:szCs w:val="24"/>
          <w:shd w:val="clear" w:color="auto" w:fill="FFFFFF"/>
        </w:rPr>
      </w:pPr>
      <w:r w:rsidRPr="00CE2354">
        <w:rPr>
          <w:rFonts w:cs="Times New Roman"/>
          <w:color w:val="000000"/>
          <w:szCs w:val="24"/>
          <w:shd w:val="clear" w:color="auto" w:fill="FFFFFF"/>
        </w:rPr>
        <w:t xml:space="preserve">Lumen. (n.d.). </w:t>
      </w:r>
      <w:r w:rsidRPr="000D38AD">
        <w:rPr>
          <w:rFonts w:cs="Times New Roman"/>
          <w:iCs/>
          <w:color w:val="000000"/>
          <w:szCs w:val="24"/>
          <w:shd w:val="clear" w:color="auto" w:fill="FFFFFF"/>
        </w:rPr>
        <w:t>Alternatives to Glycolysis</w:t>
      </w:r>
      <w:r w:rsidRPr="00CE2354">
        <w:rPr>
          <w:rFonts w:cs="Times New Roman"/>
          <w:color w:val="000000"/>
          <w:szCs w:val="24"/>
          <w:shd w:val="clear" w:color="auto" w:fill="FFFFFF"/>
        </w:rPr>
        <w:t>.</w:t>
      </w:r>
      <w:r>
        <w:rPr>
          <w:rFonts w:cs="Times New Roman"/>
          <w:color w:val="000000"/>
          <w:szCs w:val="24"/>
          <w:shd w:val="clear" w:color="auto" w:fill="FFFFFF"/>
        </w:rPr>
        <w:t xml:space="preserve"> Retrieved from </w:t>
      </w:r>
      <w:hyperlink r:id="rId8" w:history="1">
        <w:r w:rsidRPr="00CE2354">
          <w:rPr>
            <w:rStyle w:val="Hyperlink"/>
            <w:rFonts w:cs="Times New Roman"/>
            <w:szCs w:val="24"/>
            <w:shd w:val="clear" w:color="auto" w:fill="FFFFFF"/>
          </w:rPr>
          <w:t>https://courses.lumenlearning.com/boundless-microbiology/chapter/alternatives-to-glycolysis/</w:t>
        </w:r>
      </w:hyperlink>
    </w:p>
    <w:p w14:paraId="0BE11108" w14:textId="77777777" w:rsidR="00483BFE" w:rsidRPr="00CE2354" w:rsidRDefault="00483BFE" w:rsidP="00615010">
      <w:pPr>
        <w:ind w:left="720" w:hanging="720"/>
        <w:rPr>
          <w:rFonts w:cs="Times New Roman"/>
          <w:szCs w:val="24"/>
        </w:rPr>
      </w:pPr>
      <w:r w:rsidRPr="00CE2354">
        <w:rPr>
          <w:rFonts w:cs="Times New Roman"/>
          <w:color w:val="000000"/>
          <w:szCs w:val="24"/>
          <w:shd w:val="clear" w:color="auto" w:fill="FFFFFF"/>
        </w:rPr>
        <w:t>Morgan, K. (2016). </w:t>
      </w:r>
      <w:r w:rsidRPr="00CE2354">
        <w:rPr>
          <w:rFonts w:cs="Times New Roman"/>
          <w:iCs/>
          <w:color w:val="000000"/>
          <w:szCs w:val="24"/>
          <w:shd w:val="clear" w:color="auto" w:fill="FFFFFF"/>
        </w:rPr>
        <w:t xml:space="preserve">Compare and </w:t>
      </w:r>
      <w:r>
        <w:rPr>
          <w:rFonts w:cs="Times New Roman"/>
          <w:iCs/>
          <w:color w:val="000000"/>
          <w:szCs w:val="24"/>
          <w:shd w:val="clear" w:color="auto" w:fill="FFFFFF"/>
        </w:rPr>
        <w:t>c</w:t>
      </w:r>
      <w:r w:rsidRPr="00CE2354">
        <w:rPr>
          <w:rFonts w:cs="Times New Roman"/>
          <w:iCs/>
          <w:color w:val="000000"/>
          <w:szCs w:val="24"/>
          <w:shd w:val="clear" w:color="auto" w:fill="FFFFFF"/>
        </w:rPr>
        <w:t xml:space="preserve">ontrast </w:t>
      </w:r>
      <w:r>
        <w:rPr>
          <w:rFonts w:cs="Times New Roman"/>
          <w:iCs/>
          <w:color w:val="000000"/>
          <w:szCs w:val="24"/>
          <w:shd w:val="clear" w:color="auto" w:fill="FFFFFF"/>
        </w:rPr>
        <w:t>o</w:t>
      </w:r>
      <w:r w:rsidRPr="00CE2354">
        <w:rPr>
          <w:rFonts w:cs="Times New Roman"/>
          <w:iCs/>
          <w:color w:val="000000"/>
          <w:szCs w:val="24"/>
          <w:shd w:val="clear" w:color="auto" w:fill="FFFFFF"/>
        </w:rPr>
        <w:t xml:space="preserve">nline </w:t>
      </w:r>
      <w:r>
        <w:rPr>
          <w:rFonts w:cs="Times New Roman"/>
          <w:iCs/>
          <w:color w:val="000000"/>
          <w:szCs w:val="24"/>
          <w:shd w:val="clear" w:color="auto" w:fill="FFFFFF"/>
        </w:rPr>
        <w:t>v</w:t>
      </w:r>
      <w:r w:rsidRPr="00CE2354">
        <w:rPr>
          <w:rFonts w:cs="Times New Roman"/>
          <w:iCs/>
          <w:color w:val="000000"/>
          <w:szCs w:val="24"/>
          <w:shd w:val="clear" w:color="auto" w:fill="FFFFFF"/>
        </w:rPr>
        <w:t xml:space="preserve">s. </w:t>
      </w:r>
      <w:r>
        <w:rPr>
          <w:rFonts w:cs="Times New Roman"/>
          <w:iCs/>
          <w:color w:val="000000"/>
          <w:szCs w:val="24"/>
          <w:shd w:val="clear" w:color="auto" w:fill="FFFFFF"/>
        </w:rPr>
        <w:t>c</w:t>
      </w:r>
      <w:r w:rsidRPr="00CE2354">
        <w:rPr>
          <w:rFonts w:cs="Times New Roman"/>
          <w:iCs/>
          <w:color w:val="000000"/>
          <w:szCs w:val="24"/>
          <w:shd w:val="clear" w:color="auto" w:fill="FFFFFF"/>
        </w:rPr>
        <w:t xml:space="preserve">lassroom </w:t>
      </w:r>
      <w:r>
        <w:rPr>
          <w:rFonts w:cs="Times New Roman"/>
          <w:iCs/>
          <w:color w:val="000000"/>
          <w:szCs w:val="24"/>
          <w:shd w:val="clear" w:color="auto" w:fill="FFFFFF"/>
        </w:rPr>
        <w:t>i</w:t>
      </w:r>
      <w:r w:rsidRPr="00CE2354">
        <w:rPr>
          <w:rFonts w:cs="Times New Roman"/>
          <w:iCs/>
          <w:color w:val="000000"/>
          <w:szCs w:val="24"/>
          <w:shd w:val="clear" w:color="auto" w:fill="FFFFFF"/>
        </w:rPr>
        <w:t>nstruction</w:t>
      </w:r>
      <w:r w:rsidRPr="00CE2354">
        <w:rPr>
          <w:rFonts w:cs="Times New Roman"/>
          <w:i/>
          <w:iCs/>
          <w:color w:val="000000"/>
          <w:szCs w:val="24"/>
          <w:shd w:val="clear" w:color="auto" w:fill="FFFFFF"/>
        </w:rPr>
        <w:t>.</w:t>
      </w:r>
      <w:r w:rsidRPr="00CE2354">
        <w:rPr>
          <w:rFonts w:cs="Times New Roman"/>
          <w:color w:val="000000"/>
          <w:szCs w:val="24"/>
          <w:shd w:val="clear" w:color="auto" w:fill="FFFFFF"/>
        </w:rPr>
        <w:t> </w:t>
      </w:r>
      <w:r w:rsidRPr="00CE2354">
        <w:rPr>
          <w:rFonts w:cs="Times New Roman"/>
          <w:i/>
          <w:color w:val="000000"/>
          <w:szCs w:val="24"/>
          <w:shd w:val="clear" w:color="auto" w:fill="FFFFFF"/>
        </w:rPr>
        <w:t>Seattle pi</w:t>
      </w:r>
      <w:r w:rsidRPr="00CE2354">
        <w:rPr>
          <w:rFonts w:cs="Times New Roman"/>
          <w:color w:val="000000"/>
          <w:szCs w:val="24"/>
          <w:shd w:val="clear" w:color="auto" w:fill="FFFFFF"/>
        </w:rPr>
        <w:t>. Retrieved from</w:t>
      </w:r>
      <w:r>
        <w:rPr>
          <w:rFonts w:cs="Times New Roman"/>
          <w:color w:val="000000"/>
          <w:szCs w:val="24"/>
          <w:shd w:val="clear" w:color="auto" w:fill="FFFFFF"/>
        </w:rPr>
        <w:t xml:space="preserve"> </w:t>
      </w:r>
      <w:hyperlink r:id="rId9" w:history="1">
        <w:r w:rsidRPr="00B0274D">
          <w:rPr>
            <w:rStyle w:val="Hyperlink"/>
            <w:rFonts w:cs="Times New Roman"/>
            <w:szCs w:val="24"/>
            <w:shd w:val="clear" w:color="auto" w:fill="FFFFFF"/>
          </w:rPr>
          <w:t>http://education.seattlepi.com/compare-contrast-online-vs-classroom-instruction-1757.html </w:t>
        </w:r>
      </w:hyperlink>
    </w:p>
    <w:p w14:paraId="54570D76" w14:textId="77777777" w:rsidR="00483BFE" w:rsidRPr="00C40368" w:rsidRDefault="00483BFE" w:rsidP="00615010">
      <w:pPr>
        <w:ind w:left="720" w:hanging="720"/>
      </w:pPr>
      <w:r w:rsidRPr="00CE2354">
        <w:rPr>
          <w:rFonts w:cs="Times New Roman"/>
          <w:szCs w:val="24"/>
        </w:rPr>
        <w:t>Stafford Global. (2020). 5 differences between Online Learning vs Classroom Learning.</w:t>
      </w:r>
      <w:r>
        <w:rPr>
          <w:rFonts w:cs="Times New Roman"/>
          <w:szCs w:val="24"/>
        </w:rPr>
        <w:t xml:space="preserve"> Retrieved from </w:t>
      </w:r>
      <w:hyperlink r:id="rId10" w:history="1">
        <w:r w:rsidRPr="00B0274D">
          <w:rPr>
            <w:rStyle w:val="Hyperlink"/>
            <w:rFonts w:cs="Times New Roman"/>
            <w:szCs w:val="24"/>
          </w:rPr>
          <w:t>https://www.staffordglobal.org/articles-and-blogs/general-articles-and-blogs/5-differences-between-online-learning-vs-classroom-learning/</w:t>
        </w:r>
      </w:hyperlink>
      <w:r>
        <w:t xml:space="preserve"> </w:t>
      </w:r>
    </w:p>
    <w:sectPr w:rsidR="00483BFE" w:rsidRPr="00C40368" w:rsidSect="00495AB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983A" w14:textId="77777777" w:rsidR="00FA3ACC" w:rsidRDefault="00FA3ACC" w:rsidP="00495AB6">
      <w:pPr>
        <w:spacing w:after="0" w:line="240" w:lineRule="auto"/>
      </w:pPr>
      <w:r>
        <w:separator/>
      </w:r>
    </w:p>
  </w:endnote>
  <w:endnote w:type="continuationSeparator" w:id="0">
    <w:p w14:paraId="3253FE73" w14:textId="77777777" w:rsidR="00FA3ACC" w:rsidRDefault="00FA3ACC" w:rsidP="0049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D696" w14:textId="77777777" w:rsidR="00FA3ACC" w:rsidRDefault="00FA3ACC" w:rsidP="00495AB6">
      <w:pPr>
        <w:spacing w:after="0" w:line="240" w:lineRule="auto"/>
      </w:pPr>
      <w:r>
        <w:separator/>
      </w:r>
    </w:p>
  </w:footnote>
  <w:footnote w:type="continuationSeparator" w:id="0">
    <w:p w14:paraId="44DA2630" w14:textId="77777777" w:rsidR="00FA3ACC" w:rsidRDefault="00FA3ACC" w:rsidP="0049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18"/>
        <w:szCs w:val="18"/>
      </w:rPr>
      <w:id w:val="-1769998702"/>
      <w:docPartObj>
        <w:docPartGallery w:val="Page Numbers (Top of Page)"/>
        <w:docPartUnique/>
      </w:docPartObj>
    </w:sdtPr>
    <w:sdtEndPr>
      <w:rPr>
        <w:noProof/>
      </w:rPr>
    </w:sdtEndPr>
    <w:sdtContent>
      <w:p w14:paraId="05521432" w14:textId="00AC7E15" w:rsidR="00495AB6" w:rsidRPr="00495AB6" w:rsidRDefault="00495AB6" w:rsidP="00495AB6">
        <w:pPr>
          <w:pStyle w:val="Header"/>
          <w:tabs>
            <w:tab w:val="clear" w:pos="9026"/>
            <w:tab w:val="right" w:pos="9356"/>
          </w:tabs>
          <w:jc w:val="right"/>
          <w:rPr>
            <w:rFonts w:cs="Times New Roman"/>
            <w:sz w:val="18"/>
            <w:szCs w:val="18"/>
          </w:rPr>
        </w:pPr>
        <w:r w:rsidRPr="00495AB6">
          <w:rPr>
            <w:rFonts w:cs="Times New Roman"/>
            <w:bCs/>
            <w:sz w:val="18"/>
            <w:szCs w:val="18"/>
          </w:rPr>
          <w:t>ONLINE VS. CLASSROOM TEACHING AND RELATIONSHIP BETWEEN PPP AND CITRIC ACID CYCLE</w:t>
        </w:r>
        <w:r>
          <w:rPr>
            <w:rFonts w:cs="Times New Roman"/>
            <w:sz w:val="18"/>
            <w:szCs w:val="18"/>
          </w:rPr>
          <w:tab/>
        </w:r>
        <w:r w:rsidRPr="00495AB6">
          <w:rPr>
            <w:rFonts w:cs="Times New Roman"/>
            <w:sz w:val="18"/>
            <w:szCs w:val="18"/>
          </w:rPr>
          <w:fldChar w:fldCharType="begin"/>
        </w:r>
        <w:r w:rsidRPr="00495AB6">
          <w:rPr>
            <w:rFonts w:cs="Times New Roman"/>
            <w:sz w:val="18"/>
            <w:szCs w:val="18"/>
          </w:rPr>
          <w:instrText xml:space="preserve"> PAGE   \* MERGEFORMAT </w:instrText>
        </w:r>
        <w:r w:rsidRPr="00495AB6">
          <w:rPr>
            <w:rFonts w:cs="Times New Roman"/>
            <w:sz w:val="18"/>
            <w:szCs w:val="18"/>
          </w:rPr>
          <w:fldChar w:fldCharType="separate"/>
        </w:r>
        <w:r w:rsidRPr="00495AB6">
          <w:rPr>
            <w:rFonts w:cs="Times New Roman"/>
            <w:noProof/>
            <w:sz w:val="18"/>
            <w:szCs w:val="18"/>
          </w:rPr>
          <w:t>2</w:t>
        </w:r>
        <w:r w:rsidRPr="00495AB6">
          <w:rPr>
            <w:rFonts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7"/>
        <w:szCs w:val="17"/>
      </w:rPr>
      <w:id w:val="-286670614"/>
      <w:docPartObj>
        <w:docPartGallery w:val="Page Numbers (Top of Page)"/>
        <w:docPartUnique/>
      </w:docPartObj>
    </w:sdtPr>
    <w:sdtEndPr>
      <w:rPr>
        <w:noProof/>
      </w:rPr>
    </w:sdtEndPr>
    <w:sdtContent>
      <w:p w14:paraId="1B546A47" w14:textId="4138638F" w:rsidR="00495AB6" w:rsidRPr="00495AB6" w:rsidRDefault="00495AB6" w:rsidP="00495AB6">
        <w:pPr>
          <w:pStyle w:val="Header"/>
          <w:tabs>
            <w:tab w:val="clear" w:pos="9026"/>
            <w:tab w:val="right" w:pos="9356"/>
          </w:tabs>
          <w:jc w:val="right"/>
          <w:rPr>
            <w:sz w:val="17"/>
            <w:szCs w:val="17"/>
          </w:rPr>
        </w:pPr>
        <w:r w:rsidRPr="00495AB6">
          <w:rPr>
            <w:sz w:val="17"/>
            <w:szCs w:val="17"/>
          </w:rPr>
          <w:t xml:space="preserve">Running head: </w:t>
        </w:r>
        <w:r w:rsidRPr="00495AB6">
          <w:rPr>
            <w:bCs/>
            <w:sz w:val="17"/>
            <w:szCs w:val="17"/>
          </w:rPr>
          <w:t>ONLINE VS. CLASSROOM TEACHING AND RELATIONSHIP BETWEEN PPP AND CITRIC ACID CYCLE</w:t>
        </w:r>
        <w:r>
          <w:rPr>
            <w:bCs/>
            <w:sz w:val="17"/>
            <w:szCs w:val="17"/>
          </w:rPr>
          <w:tab/>
        </w:r>
        <w:r w:rsidRPr="00495AB6">
          <w:rPr>
            <w:sz w:val="17"/>
            <w:szCs w:val="17"/>
          </w:rPr>
          <w:fldChar w:fldCharType="begin"/>
        </w:r>
        <w:r w:rsidRPr="00495AB6">
          <w:rPr>
            <w:sz w:val="17"/>
            <w:szCs w:val="17"/>
          </w:rPr>
          <w:instrText xml:space="preserve"> PAGE   \* MERGEFORMAT </w:instrText>
        </w:r>
        <w:r w:rsidRPr="00495AB6">
          <w:rPr>
            <w:sz w:val="17"/>
            <w:szCs w:val="17"/>
          </w:rPr>
          <w:fldChar w:fldCharType="separate"/>
        </w:r>
        <w:r w:rsidRPr="00495AB6">
          <w:rPr>
            <w:noProof/>
            <w:sz w:val="17"/>
            <w:szCs w:val="17"/>
          </w:rPr>
          <w:t>2</w:t>
        </w:r>
        <w:r w:rsidRPr="00495AB6">
          <w:rPr>
            <w:noProof/>
            <w:sz w:val="17"/>
            <w:szCs w:val="17"/>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A7FFB"/>
    <w:multiLevelType w:val="hybridMultilevel"/>
    <w:tmpl w:val="9B86E9EA"/>
    <w:lvl w:ilvl="0" w:tplc="DD42D65A">
      <w:start w:val="1"/>
      <w:numFmt w:val="decimal"/>
      <w:lvlText w:val="%1."/>
      <w:lvlJc w:val="left"/>
      <w:pPr>
        <w:ind w:left="720" w:hanging="360"/>
      </w:pPr>
      <w:rPr>
        <w:rFonts w:hint="default"/>
      </w:rPr>
    </w:lvl>
    <w:lvl w:ilvl="1" w:tplc="B8925D6E" w:tentative="1">
      <w:start w:val="1"/>
      <w:numFmt w:val="lowerLetter"/>
      <w:lvlText w:val="%2."/>
      <w:lvlJc w:val="left"/>
      <w:pPr>
        <w:ind w:left="1440" w:hanging="360"/>
      </w:pPr>
    </w:lvl>
    <w:lvl w:ilvl="2" w:tplc="9AC062C6" w:tentative="1">
      <w:start w:val="1"/>
      <w:numFmt w:val="lowerRoman"/>
      <w:lvlText w:val="%3."/>
      <w:lvlJc w:val="right"/>
      <w:pPr>
        <w:ind w:left="2160" w:hanging="180"/>
      </w:pPr>
    </w:lvl>
    <w:lvl w:ilvl="3" w:tplc="A022AC30" w:tentative="1">
      <w:start w:val="1"/>
      <w:numFmt w:val="decimal"/>
      <w:lvlText w:val="%4."/>
      <w:lvlJc w:val="left"/>
      <w:pPr>
        <w:ind w:left="2880" w:hanging="360"/>
      </w:pPr>
    </w:lvl>
    <w:lvl w:ilvl="4" w:tplc="45540B7E" w:tentative="1">
      <w:start w:val="1"/>
      <w:numFmt w:val="lowerLetter"/>
      <w:lvlText w:val="%5."/>
      <w:lvlJc w:val="left"/>
      <w:pPr>
        <w:ind w:left="3600" w:hanging="360"/>
      </w:pPr>
    </w:lvl>
    <w:lvl w:ilvl="5" w:tplc="5DA4CA66" w:tentative="1">
      <w:start w:val="1"/>
      <w:numFmt w:val="lowerRoman"/>
      <w:lvlText w:val="%6."/>
      <w:lvlJc w:val="right"/>
      <w:pPr>
        <w:ind w:left="4320" w:hanging="180"/>
      </w:pPr>
    </w:lvl>
    <w:lvl w:ilvl="6" w:tplc="612E7920" w:tentative="1">
      <w:start w:val="1"/>
      <w:numFmt w:val="decimal"/>
      <w:lvlText w:val="%7."/>
      <w:lvlJc w:val="left"/>
      <w:pPr>
        <w:ind w:left="5040" w:hanging="360"/>
      </w:pPr>
    </w:lvl>
    <w:lvl w:ilvl="7" w:tplc="4B5C56AE" w:tentative="1">
      <w:start w:val="1"/>
      <w:numFmt w:val="lowerLetter"/>
      <w:lvlText w:val="%8."/>
      <w:lvlJc w:val="left"/>
      <w:pPr>
        <w:ind w:left="5760" w:hanging="360"/>
      </w:pPr>
    </w:lvl>
    <w:lvl w:ilvl="8" w:tplc="E6365E2C" w:tentative="1">
      <w:start w:val="1"/>
      <w:numFmt w:val="lowerRoman"/>
      <w:lvlText w:val="%9."/>
      <w:lvlJc w:val="right"/>
      <w:pPr>
        <w:ind w:left="6480" w:hanging="180"/>
      </w:pPr>
    </w:lvl>
  </w:abstractNum>
  <w:abstractNum w:abstractNumId="1" w15:restartNumberingAfterBreak="0">
    <w:nsid w:val="2C2A0FBF"/>
    <w:multiLevelType w:val="multilevel"/>
    <w:tmpl w:val="8E82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2C727B"/>
    <w:multiLevelType w:val="hybridMultilevel"/>
    <w:tmpl w:val="1EF8987E"/>
    <w:lvl w:ilvl="0" w:tplc="823EF134">
      <w:start w:val="1"/>
      <w:numFmt w:val="decimal"/>
      <w:lvlText w:val="%1."/>
      <w:lvlJc w:val="left"/>
      <w:pPr>
        <w:ind w:left="720" w:hanging="360"/>
      </w:pPr>
      <w:rPr>
        <w:rFonts w:hint="default"/>
      </w:rPr>
    </w:lvl>
    <w:lvl w:ilvl="1" w:tplc="F6E437BC" w:tentative="1">
      <w:start w:val="1"/>
      <w:numFmt w:val="lowerLetter"/>
      <w:lvlText w:val="%2."/>
      <w:lvlJc w:val="left"/>
      <w:pPr>
        <w:ind w:left="1440" w:hanging="360"/>
      </w:pPr>
    </w:lvl>
    <w:lvl w:ilvl="2" w:tplc="B9F20C46" w:tentative="1">
      <w:start w:val="1"/>
      <w:numFmt w:val="lowerRoman"/>
      <w:lvlText w:val="%3."/>
      <w:lvlJc w:val="right"/>
      <w:pPr>
        <w:ind w:left="2160" w:hanging="180"/>
      </w:pPr>
    </w:lvl>
    <w:lvl w:ilvl="3" w:tplc="3F6EF170" w:tentative="1">
      <w:start w:val="1"/>
      <w:numFmt w:val="decimal"/>
      <w:lvlText w:val="%4."/>
      <w:lvlJc w:val="left"/>
      <w:pPr>
        <w:ind w:left="2880" w:hanging="360"/>
      </w:pPr>
    </w:lvl>
    <w:lvl w:ilvl="4" w:tplc="FB98A38A" w:tentative="1">
      <w:start w:val="1"/>
      <w:numFmt w:val="lowerLetter"/>
      <w:lvlText w:val="%5."/>
      <w:lvlJc w:val="left"/>
      <w:pPr>
        <w:ind w:left="3600" w:hanging="360"/>
      </w:pPr>
    </w:lvl>
    <w:lvl w:ilvl="5" w:tplc="650E279E" w:tentative="1">
      <w:start w:val="1"/>
      <w:numFmt w:val="lowerRoman"/>
      <w:lvlText w:val="%6."/>
      <w:lvlJc w:val="right"/>
      <w:pPr>
        <w:ind w:left="4320" w:hanging="180"/>
      </w:pPr>
    </w:lvl>
    <w:lvl w:ilvl="6" w:tplc="3864D314" w:tentative="1">
      <w:start w:val="1"/>
      <w:numFmt w:val="decimal"/>
      <w:lvlText w:val="%7."/>
      <w:lvlJc w:val="left"/>
      <w:pPr>
        <w:ind w:left="5040" w:hanging="360"/>
      </w:pPr>
    </w:lvl>
    <w:lvl w:ilvl="7" w:tplc="5E24FDA2" w:tentative="1">
      <w:start w:val="1"/>
      <w:numFmt w:val="lowerLetter"/>
      <w:lvlText w:val="%8."/>
      <w:lvlJc w:val="left"/>
      <w:pPr>
        <w:ind w:left="5760" w:hanging="360"/>
      </w:pPr>
    </w:lvl>
    <w:lvl w:ilvl="8" w:tplc="B242124A" w:tentative="1">
      <w:start w:val="1"/>
      <w:numFmt w:val="lowerRoman"/>
      <w:lvlText w:val="%9."/>
      <w:lvlJc w:val="right"/>
      <w:pPr>
        <w:ind w:left="6480" w:hanging="180"/>
      </w:pPr>
    </w:lvl>
  </w:abstractNum>
  <w:abstractNum w:abstractNumId="3" w15:restartNumberingAfterBreak="0">
    <w:nsid w:val="79645446"/>
    <w:multiLevelType w:val="hybridMultilevel"/>
    <w:tmpl w:val="0B6C7060"/>
    <w:lvl w:ilvl="0" w:tplc="86BC4150">
      <w:start w:val="1"/>
      <w:numFmt w:val="decimal"/>
      <w:lvlText w:val="%1."/>
      <w:lvlJc w:val="left"/>
      <w:pPr>
        <w:ind w:left="720" w:hanging="360"/>
      </w:pPr>
      <w:rPr>
        <w:rFonts w:hint="default"/>
      </w:rPr>
    </w:lvl>
    <w:lvl w:ilvl="1" w:tplc="208E385C" w:tentative="1">
      <w:start w:val="1"/>
      <w:numFmt w:val="lowerLetter"/>
      <w:lvlText w:val="%2."/>
      <w:lvlJc w:val="left"/>
      <w:pPr>
        <w:ind w:left="1440" w:hanging="360"/>
      </w:pPr>
    </w:lvl>
    <w:lvl w:ilvl="2" w:tplc="AF70D202" w:tentative="1">
      <w:start w:val="1"/>
      <w:numFmt w:val="lowerRoman"/>
      <w:lvlText w:val="%3."/>
      <w:lvlJc w:val="right"/>
      <w:pPr>
        <w:ind w:left="2160" w:hanging="180"/>
      </w:pPr>
    </w:lvl>
    <w:lvl w:ilvl="3" w:tplc="133EA8A0" w:tentative="1">
      <w:start w:val="1"/>
      <w:numFmt w:val="decimal"/>
      <w:lvlText w:val="%4."/>
      <w:lvlJc w:val="left"/>
      <w:pPr>
        <w:ind w:left="2880" w:hanging="360"/>
      </w:pPr>
    </w:lvl>
    <w:lvl w:ilvl="4" w:tplc="7BB8C986" w:tentative="1">
      <w:start w:val="1"/>
      <w:numFmt w:val="lowerLetter"/>
      <w:lvlText w:val="%5."/>
      <w:lvlJc w:val="left"/>
      <w:pPr>
        <w:ind w:left="3600" w:hanging="360"/>
      </w:pPr>
    </w:lvl>
    <w:lvl w:ilvl="5" w:tplc="D8421476" w:tentative="1">
      <w:start w:val="1"/>
      <w:numFmt w:val="lowerRoman"/>
      <w:lvlText w:val="%6."/>
      <w:lvlJc w:val="right"/>
      <w:pPr>
        <w:ind w:left="4320" w:hanging="180"/>
      </w:pPr>
    </w:lvl>
    <w:lvl w:ilvl="6" w:tplc="6D721936" w:tentative="1">
      <w:start w:val="1"/>
      <w:numFmt w:val="decimal"/>
      <w:lvlText w:val="%7."/>
      <w:lvlJc w:val="left"/>
      <w:pPr>
        <w:ind w:left="5040" w:hanging="360"/>
      </w:pPr>
    </w:lvl>
    <w:lvl w:ilvl="7" w:tplc="7BEA492A" w:tentative="1">
      <w:start w:val="1"/>
      <w:numFmt w:val="lowerLetter"/>
      <w:lvlText w:val="%8."/>
      <w:lvlJc w:val="left"/>
      <w:pPr>
        <w:ind w:left="5760" w:hanging="360"/>
      </w:pPr>
    </w:lvl>
    <w:lvl w:ilvl="8" w:tplc="25C8C42C"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wNDc3NzI1MDEwNDFS0lEKTi0uzszPAykwrAUAXdMGmiwAAAA="/>
  </w:docVars>
  <w:rsids>
    <w:rsidRoot w:val="00C7316A"/>
    <w:rsid w:val="000D38AD"/>
    <w:rsid w:val="00116E45"/>
    <w:rsid w:val="00154527"/>
    <w:rsid w:val="001A2365"/>
    <w:rsid w:val="0031113A"/>
    <w:rsid w:val="00343EAE"/>
    <w:rsid w:val="00483BFE"/>
    <w:rsid w:val="00495AB6"/>
    <w:rsid w:val="00615010"/>
    <w:rsid w:val="00623B25"/>
    <w:rsid w:val="00675C2B"/>
    <w:rsid w:val="007B0490"/>
    <w:rsid w:val="008825AE"/>
    <w:rsid w:val="008E6C38"/>
    <w:rsid w:val="00912199"/>
    <w:rsid w:val="00926814"/>
    <w:rsid w:val="00980A65"/>
    <w:rsid w:val="009919B1"/>
    <w:rsid w:val="009B7231"/>
    <w:rsid w:val="009C28BB"/>
    <w:rsid w:val="00A620DA"/>
    <w:rsid w:val="00AB251A"/>
    <w:rsid w:val="00AC5FB4"/>
    <w:rsid w:val="00B16E1A"/>
    <w:rsid w:val="00B53B5E"/>
    <w:rsid w:val="00C40368"/>
    <w:rsid w:val="00C66D8A"/>
    <w:rsid w:val="00C7316A"/>
    <w:rsid w:val="00CE2354"/>
    <w:rsid w:val="00FA3ACC"/>
    <w:rsid w:val="00FA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6AB5"/>
  <w15:docId w15:val="{57A2FB28-DDF3-43FA-9A1C-26DB2080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B1"/>
    <w:pPr>
      <w:ind w:left="720"/>
      <w:contextualSpacing/>
    </w:pPr>
  </w:style>
  <w:style w:type="character" w:styleId="Hyperlink">
    <w:name w:val="Hyperlink"/>
    <w:basedOn w:val="DefaultParagraphFont"/>
    <w:uiPriority w:val="99"/>
    <w:unhideWhenUsed/>
    <w:rsid w:val="00C40368"/>
    <w:rPr>
      <w:color w:val="0000FF"/>
      <w:u w:val="single"/>
    </w:rPr>
  </w:style>
  <w:style w:type="paragraph" w:styleId="Header">
    <w:name w:val="header"/>
    <w:basedOn w:val="Normal"/>
    <w:link w:val="HeaderChar"/>
    <w:uiPriority w:val="99"/>
    <w:unhideWhenUsed/>
    <w:rsid w:val="00495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AB6"/>
    <w:rPr>
      <w:rFonts w:ascii="Times New Roman" w:hAnsi="Times New Roman"/>
      <w:sz w:val="24"/>
    </w:rPr>
  </w:style>
  <w:style w:type="paragraph" w:styleId="Footer">
    <w:name w:val="footer"/>
    <w:basedOn w:val="Normal"/>
    <w:link w:val="FooterChar"/>
    <w:uiPriority w:val="99"/>
    <w:unhideWhenUsed/>
    <w:rsid w:val="00495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AB6"/>
    <w:rPr>
      <w:rFonts w:ascii="Times New Roman" w:hAnsi="Times New Roman"/>
      <w:sz w:val="24"/>
    </w:rPr>
  </w:style>
  <w:style w:type="character" w:styleId="UnresolvedMention">
    <w:name w:val="Unresolved Mention"/>
    <w:basedOn w:val="DefaultParagraphFont"/>
    <w:uiPriority w:val="99"/>
    <w:semiHidden/>
    <w:unhideWhenUsed/>
    <w:rsid w:val="00B53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s.lumenlearning.com/boundless-microbiology/chapter/alternatives-to-glycolys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klectures.com/lecture/pentose-phosphate-pathway/interplay-of-glycolysis-and-pentose-phosphate-pathwa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taffordglobal.org/articles-and-blogs/general-articles-and-blogs/5-differences-between-online-learning-vs-classroom-learning/" TargetMode="External"/><Relationship Id="rId4" Type="http://schemas.openxmlformats.org/officeDocument/2006/relationships/webSettings" Target="webSettings.xml"/><Relationship Id="rId9" Type="http://schemas.openxmlformats.org/officeDocument/2006/relationships/hyperlink" Target="http://education.seattlepi.com/compare-contrast-online-vs-classroom-instruction-1757.html&#1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4</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20</cp:revision>
  <dcterms:created xsi:type="dcterms:W3CDTF">2021-04-24T20:30:00Z</dcterms:created>
  <dcterms:modified xsi:type="dcterms:W3CDTF">2021-04-25T10:12:00Z</dcterms:modified>
</cp:coreProperties>
</file>